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BE" w:rsidRDefault="00F247BE" w:rsidP="00F247BE">
      <w:r>
        <w:rPr>
          <w:noProof/>
          <w:lang w:eastAsia="it-IT"/>
        </w:rPr>
        <w:drawing>
          <wp:inline distT="0" distB="0" distL="0" distR="0">
            <wp:extent cx="5067300" cy="895350"/>
            <wp:effectExtent l="19050" t="0" r="0" b="0"/>
            <wp:docPr id="2" name="Immagine 1" descr="immagine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p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7BE" w:rsidRDefault="00F247BE" w:rsidP="00F247BE">
      <w:pPr>
        <w:jc w:val="center"/>
        <w:rPr>
          <w:b/>
          <w:sz w:val="32"/>
          <w:szCs w:val="32"/>
        </w:rPr>
      </w:pPr>
      <w:r w:rsidRPr="00F247BE">
        <w:rPr>
          <w:b/>
          <w:sz w:val="32"/>
          <w:szCs w:val="32"/>
        </w:rPr>
        <w:t>PROGETTO “EXTRA SCUOLA”</w:t>
      </w:r>
    </w:p>
    <w:p w:rsidR="00F94C07" w:rsidRDefault="00F94C07" w:rsidP="00F94C07">
      <w:pPr>
        <w:rPr>
          <w:color w:val="474747"/>
          <w:sz w:val="17"/>
          <w:szCs w:val="17"/>
          <w:shd w:val="clear" w:color="auto" w:fill="FFFFFF"/>
        </w:rPr>
      </w:pPr>
      <w:r>
        <w:rPr>
          <w:color w:val="474747"/>
          <w:sz w:val="17"/>
          <w:szCs w:val="17"/>
          <w:shd w:val="clear" w:color="auto" w:fill="FFFFFF"/>
        </w:rPr>
        <w:t xml:space="preserve">Il </w:t>
      </w:r>
      <w:proofErr w:type="spellStart"/>
      <w:r>
        <w:rPr>
          <w:color w:val="474747"/>
          <w:sz w:val="17"/>
          <w:szCs w:val="17"/>
          <w:shd w:val="clear" w:color="auto" w:fill="FFFFFF"/>
        </w:rPr>
        <w:t>Miur</w:t>
      </w:r>
      <w:proofErr w:type="spellEnd"/>
      <w:r>
        <w:rPr>
          <w:color w:val="474747"/>
          <w:sz w:val="17"/>
          <w:szCs w:val="17"/>
          <w:shd w:val="clear" w:color="auto" w:fill="FFFFFF"/>
        </w:rPr>
        <w:t xml:space="preserve"> con la nota n. 10862 del 16/09/2016 ha pubblicato l’Avviso relativo ai “Progetti di inclusione sociale e lotta al disagio nonché per garantire l’apertura delle scuole oltre l’orario scolastico soprattutto nella aree a rischio e in quelle periferiche”.</w:t>
      </w:r>
    </w:p>
    <w:p w:rsidR="00F94C07" w:rsidRDefault="00F94C07" w:rsidP="00F94C07">
      <w:pPr>
        <w:jc w:val="both"/>
        <w:rPr>
          <w:color w:val="474747"/>
          <w:sz w:val="17"/>
          <w:szCs w:val="17"/>
          <w:shd w:val="clear" w:color="auto" w:fill="FFFFFF"/>
        </w:rPr>
      </w:pPr>
      <w:r w:rsidRPr="00F94C07">
        <w:rPr>
          <w:color w:val="474747"/>
          <w:sz w:val="17"/>
          <w:szCs w:val="17"/>
          <w:shd w:val="clear" w:color="auto" w:fill="FFFFFF"/>
        </w:rPr>
        <w:t>L'adesione al progetto</w:t>
      </w:r>
      <w:r>
        <w:rPr>
          <w:color w:val="474747"/>
          <w:sz w:val="17"/>
          <w:szCs w:val="17"/>
          <w:shd w:val="clear" w:color="auto" w:fill="FFFFFF"/>
        </w:rPr>
        <w:t xml:space="preserve"> da parte dell’istituto “V. </w:t>
      </w:r>
      <w:proofErr w:type="spellStart"/>
      <w:r>
        <w:rPr>
          <w:color w:val="474747"/>
          <w:sz w:val="17"/>
          <w:szCs w:val="17"/>
          <w:shd w:val="clear" w:color="auto" w:fill="FFFFFF"/>
        </w:rPr>
        <w:t>Mucci</w:t>
      </w:r>
      <w:proofErr w:type="spellEnd"/>
      <w:r>
        <w:rPr>
          <w:color w:val="474747"/>
          <w:sz w:val="17"/>
          <w:szCs w:val="17"/>
          <w:shd w:val="clear" w:color="auto" w:fill="FFFFFF"/>
        </w:rPr>
        <w:t xml:space="preserve">” </w:t>
      </w:r>
      <w:r w:rsidRPr="00F94C07">
        <w:rPr>
          <w:color w:val="474747"/>
          <w:sz w:val="17"/>
          <w:szCs w:val="17"/>
          <w:shd w:val="clear" w:color="auto" w:fill="FFFFFF"/>
        </w:rPr>
        <w:t xml:space="preserve">mira a ottimizzare il rapporto che gli studenti e le loro famiglie hanno con la scuola, attraverso moduli di attività </w:t>
      </w:r>
      <w:proofErr w:type="spellStart"/>
      <w:r w:rsidRPr="00F94C07">
        <w:rPr>
          <w:color w:val="474747"/>
          <w:sz w:val="17"/>
          <w:szCs w:val="17"/>
          <w:shd w:val="clear" w:color="auto" w:fill="FFFFFF"/>
        </w:rPr>
        <w:t>laboratoriale</w:t>
      </w:r>
      <w:proofErr w:type="spellEnd"/>
      <w:r w:rsidRPr="00F94C07">
        <w:rPr>
          <w:color w:val="474747"/>
          <w:sz w:val="17"/>
          <w:szCs w:val="17"/>
          <w:shd w:val="clear" w:color="auto" w:fill="FFFFFF"/>
        </w:rPr>
        <w:t xml:space="preserve"> e con il sostegno di enti pubblici e privati si vuole contribuire a migliorare l'inclusione sociale.</w:t>
      </w:r>
      <w:r w:rsidRPr="00F94C07">
        <w:rPr>
          <w:color w:val="474747"/>
          <w:sz w:val="17"/>
          <w:szCs w:val="17"/>
          <w:shd w:val="clear" w:color="auto" w:fill="FFFFFF"/>
        </w:rPr>
        <w:cr/>
        <w:t xml:space="preserve"> Il progetto 'EXTRA SCUOLA' nasce da una proposta di moduli richiesti dagli alunni stessi, pensiamo che il carattere innovativo dei moduli possa contribuire a far raggiungere il successo scolastico degli studenti caratterizzati da particolari fragilità e generare un attaccamento alla scuola al fine di migliorare l'integrazione sociale.</w:t>
      </w:r>
    </w:p>
    <w:p w:rsidR="00010153" w:rsidRPr="00F94C07" w:rsidRDefault="00010153" w:rsidP="00010153">
      <w:pPr>
        <w:jc w:val="both"/>
      </w:pPr>
      <w:r>
        <w:rPr>
          <w:color w:val="474747"/>
          <w:sz w:val="17"/>
          <w:szCs w:val="17"/>
          <w:shd w:val="clear" w:color="auto" w:fill="FFFFFF"/>
        </w:rPr>
        <w:t>I moduli si attiveranno nel caso in cui ci siano i finanziamenti europei legati al PON.</w:t>
      </w:r>
    </w:p>
    <w:p w:rsidR="00F247BE" w:rsidRDefault="00F247BE" w:rsidP="00F247BE">
      <w:r>
        <w:t>Modulo “</w:t>
      </w:r>
      <w:r w:rsidR="00F46A42">
        <w:t>Vivere con stile</w:t>
      </w:r>
      <w:r>
        <w:t>”</w:t>
      </w:r>
    </w:p>
    <w:p w:rsidR="00F247BE" w:rsidRDefault="00F247BE" w:rsidP="00F247BE">
      <w:r>
        <w:t xml:space="preserve">Utenza: </w:t>
      </w:r>
    </w:p>
    <w:p w:rsidR="005656D5" w:rsidRPr="005656D5" w:rsidRDefault="005656D5" w:rsidP="00F247BE">
      <w:pPr>
        <w:pStyle w:val="Paragrafoelenco"/>
        <w:numPr>
          <w:ilvl w:val="0"/>
          <w:numId w:val="1"/>
        </w:numPr>
      </w:pPr>
      <w:r w:rsidRPr="005656D5">
        <w:t xml:space="preserve">Allievi a rischio di abbandono del percorso scolastico e formativo per elevato numero di assenze; demotivazione; </w:t>
      </w:r>
      <w:r>
        <w:t xml:space="preserve"> </w:t>
      </w:r>
      <w:r w:rsidRPr="005656D5">
        <w:t>disaffezione verso lo studio</w:t>
      </w:r>
    </w:p>
    <w:p w:rsidR="00954276" w:rsidRDefault="00954276" w:rsidP="00F247BE">
      <w:pPr>
        <w:pStyle w:val="Paragrafoelenco"/>
        <w:numPr>
          <w:ilvl w:val="0"/>
          <w:numId w:val="1"/>
        </w:numPr>
      </w:pPr>
      <w:r w:rsidRPr="00954276">
        <w:t xml:space="preserve">Allievi </w:t>
      </w:r>
      <w:r w:rsidR="005656D5">
        <w:t>con bassi livelli di competenze</w:t>
      </w:r>
    </w:p>
    <w:p w:rsidR="00AA5CF8" w:rsidRDefault="00AA5CF8" w:rsidP="00F247BE">
      <w:pPr>
        <w:pStyle w:val="Paragrafoelenco"/>
        <w:numPr>
          <w:ilvl w:val="0"/>
          <w:numId w:val="1"/>
        </w:numPr>
      </w:pPr>
      <w:r w:rsidRPr="00AA5CF8">
        <w:t>Allievi bisognosi di azioni di orientamento</w:t>
      </w:r>
    </w:p>
    <w:p w:rsidR="00F46A42" w:rsidRDefault="00F46A42" w:rsidP="00F247BE">
      <w:pPr>
        <w:pStyle w:val="Paragrafoelenco"/>
        <w:numPr>
          <w:ilvl w:val="0"/>
          <w:numId w:val="1"/>
        </w:numPr>
      </w:pPr>
      <w:r w:rsidRPr="00F46A42">
        <w:t>Allievi in condizioni socio-economiche svantaggiate e/o in una situazione di abbandono familiare</w:t>
      </w:r>
    </w:p>
    <w:p w:rsidR="00F247BE" w:rsidRDefault="00F247BE" w:rsidP="00F247BE">
      <w:r>
        <w:t>DESCRIZIONE DEL PROGETTO:</w:t>
      </w:r>
    </w:p>
    <w:p w:rsidR="00F46A42" w:rsidRDefault="00F46A42" w:rsidP="00F46A42">
      <w:pPr>
        <w:jc w:val="both"/>
      </w:pPr>
      <w:r>
        <w:t xml:space="preserve">Dati recenti affermano che tra gli adolescenti di età compresa tra i 15 e i 16 anni è in diminuzione il consumo di alcol e tabacchi ma preoccupano le nuove sostanze psicoattive (NPS) e le dipendenze comportamentali come l’uso problematico di internet, il gioco d’azzardo e il </w:t>
      </w:r>
      <w:proofErr w:type="spellStart"/>
      <w:r>
        <w:t>gaming</w:t>
      </w:r>
      <w:proofErr w:type="spellEnd"/>
      <w:r>
        <w:t xml:space="preserve">. In questo percorso si colloca la proposta progettuale “VIVERECON STILE” rivolta agli studenti del biennio dell'Istituto Professionale </w:t>
      </w:r>
      <w:proofErr w:type="spellStart"/>
      <w:r>
        <w:t>Velso</w:t>
      </w:r>
      <w:proofErr w:type="spellEnd"/>
      <w:r>
        <w:t xml:space="preserve"> </w:t>
      </w:r>
      <w:proofErr w:type="spellStart"/>
      <w:r>
        <w:t>Mucci-</w:t>
      </w:r>
      <w:proofErr w:type="spellEnd"/>
    </w:p>
    <w:p w:rsidR="00F46A42" w:rsidRDefault="00F46A42" w:rsidP="00F46A42">
      <w:pPr>
        <w:jc w:val="both"/>
      </w:pPr>
      <w:r>
        <w:t>Gli obiettivi sono:</w:t>
      </w:r>
    </w:p>
    <w:p w:rsidR="00F46A42" w:rsidRDefault="00F46A42" w:rsidP="00F46A42">
      <w:pPr>
        <w:jc w:val="both"/>
      </w:pPr>
      <w:r>
        <w:t>-</w:t>
      </w:r>
      <w:r>
        <w:tab/>
        <w:t>Analisi e focalizzazione degli stili di vita e di consumo;</w:t>
      </w:r>
    </w:p>
    <w:p w:rsidR="00F46A42" w:rsidRDefault="00F46A42" w:rsidP="00F46A42">
      <w:pPr>
        <w:jc w:val="both"/>
      </w:pPr>
      <w:r>
        <w:t>-</w:t>
      </w:r>
      <w:r>
        <w:tab/>
        <w:t>Analisi delle NPS e delle dipendenze comportamentali con particolare riferimento ai soggetti a rischio e alle conseguenze psico-fisiche connesse al loro utilizzo;</w:t>
      </w:r>
    </w:p>
    <w:p w:rsidR="00F46A42" w:rsidRDefault="00F46A42" w:rsidP="00F46A42">
      <w:pPr>
        <w:jc w:val="both"/>
      </w:pPr>
      <w:r>
        <w:t>-</w:t>
      </w:r>
      <w:r>
        <w:tab/>
        <w:t>Cenni alla Legge regionale 02/05/2016 n.9:”Norme per la prevenzione e il contrasto alla diffusione del gioco d’azzardo patologico;</w:t>
      </w:r>
    </w:p>
    <w:p w:rsidR="00F46A42" w:rsidRDefault="00F46A42" w:rsidP="00F46A42">
      <w:pPr>
        <w:jc w:val="both"/>
      </w:pPr>
      <w:r>
        <w:t>-</w:t>
      </w:r>
      <w:r>
        <w:tab/>
        <w:t xml:space="preserve">Rispondere al quesito più </w:t>
      </w:r>
      <w:proofErr w:type="spellStart"/>
      <w:r>
        <w:t>diffuoso</w:t>
      </w:r>
      <w:proofErr w:type="spellEnd"/>
      <w:r>
        <w:t xml:space="preserve"> tra gli studenti italiani:”prof l’uso personale è reato”? </w:t>
      </w:r>
    </w:p>
    <w:p w:rsidR="00F46A42" w:rsidRDefault="00F46A42" w:rsidP="00F46A42">
      <w:pPr>
        <w:jc w:val="both"/>
      </w:pPr>
      <w:r>
        <w:t>-</w:t>
      </w:r>
      <w:r>
        <w:tab/>
        <w:t>Differenza tra illecito amministrativo (uso personale) e spaccio (reato);</w:t>
      </w:r>
    </w:p>
    <w:p w:rsidR="00F46A42" w:rsidRDefault="00F46A42" w:rsidP="00F46A42">
      <w:pPr>
        <w:jc w:val="both"/>
      </w:pPr>
      <w:r>
        <w:lastRenderedPageBreak/>
        <w:t>-</w:t>
      </w:r>
      <w:r>
        <w:tab/>
        <w:t>Esplorazione/confronto dei vissuti personali e dei saperi individuali e collettivi in merito ai rischi e alla messa in sicurezza da tradursi in comportamenti più responsabili e atteggiamenti maggiormente critici e riflessivi.</w:t>
      </w:r>
    </w:p>
    <w:p w:rsidR="00F46A42" w:rsidRDefault="00F46A42" w:rsidP="00F46A42">
      <w:pPr>
        <w:jc w:val="both"/>
      </w:pPr>
      <w:r>
        <w:t xml:space="preserve">Sono previsti 10 incontri di 3 ore .  Gli incontri saranno realizzati dall’Esperto di Associazioni competenti sul territorio, a titolo gratuito da  personale </w:t>
      </w:r>
      <w:proofErr w:type="spellStart"/>
      <w:r>
        <w:t>psico-educativo</w:t>
      </w:r>
      <w:proofErr w:type="spellEnd"/>
      <w:r>
        <w:t xml:space="preserve"> dell'ente pubblico ASLCn2 e dal tutor interno. </w:t>
      </w:r>
    </w:p>
    <w:p w:rsidR="00F46A42" w:rsidRDefault="00F46A42" w:rsidP="00F46A42">
      <w:pPr>
        <w:jc w:val="both"/>
      </w:pPr>
      <w:r>
        <w:t>I corsi verranno tenuti in orario pomeridiano extrascolastico con il supporto e la collaborazione del personale ATA.</w:t>
      </w:r>
    </w:p>
    <w:p w:rsidR="00F46A42" w:rsidRDefault="00F46A42" w:rsidP="00F46A42">
      <w:pPr>
        <w:jc w:val="both"/>
      </w:pPr>
      <w:r>
        <w:t xml:space="preserve">Il laboratorio avrà una metodologia attiva con l’utilizzo di tecniche quali il Brainstorming, la scelta di immagini individuali fisse, la risposta individuale a brevi quesiti, la costruzione di brevi storie per immagini, l’analisi di frammenti audiovisivi, soprattutto in piccolo </w:t>
      </w:r>
      <w:proofErr w:type="spellStart"/>
      <w:r>
        <w:t>gruppo.Le</w:t>
      </w:r>
      <w:proofErr w:type="spellEnd"/>
      <w:r>
        <w:t xml:space="preserve"> attività pratiche saranno seguite da confronti assembleari con rimandi dei formatori che si muovono su una traccia di intervento “elastica”, che privilegia i contributi portati dai partecipanti nell’ottica di costruzione di significati comuni e condivisi. </w:t>
      </w:r>
    </w:p>
    <w:p w:rsidR="00F46A42" w:rsidRDefault="00F46A42" w:rsidP="00F46A42">
      <w:pPr>
        <w:jc w:val="both"/>
      </w:pPr>
      <w:r>
        <w:t>Sicuramente è innovativa la fase di produzione mediale come dispositivo di sviluppo di competenze, riflessione critica e responsabilità nell’elaborazione di un messaggio di comunicazione sociale. Inoltre è prevista la presentazione del materiale creato dai ragazzi ai Concorsi promossi dalla CRC 'CONTESTS' per coinvolgere gli studenti con la raccolta di disegni e materiale fotografico al fine anche di pubblicizzare i finanziamenti europei ricevuti.</w:t>
      </w:r>
    </w:p>
    <w:p w:rsidR="00F46A42" w:rsidRDefault="00F46A42" w:rsidP="00F46A42">
      <w:pPr>
        <w:jc w:val="both"/>
      </w:pPr>
      <w:r>
        <w:t>I risultati attesi:</w:t>
      </w:r>
    </w:p>
    <w:p w:rsidR="00F46A42" w:rsidRDefault="00F46A42" w:rsidP="00F46A42">
      <w:pPr>
        <w:jc w:val="both"/>
      </w:pPr>
      <w:r>
        <w:t>-</w:t>
      </w:r>
      <w:r>
        <w:tab/>
        <w:t>Sensibilizzazione e partecipazione attiva;</w:t>
      </w:r>
    </w:p>
    <w:p w:rsidR="00F46A42" w:rsidRDefault="00F46A42" w:rsidP="00F46A42">
      <w:pPr>
        <w:jc w:val="both"/>
      </w:pPr>
      <w:r>
        <w:t>-</w:t>
      </w:r>
      <w:r>
        <w:tab/>
        <w:t>Presa di coscienza del problema;</w:t>
      </w:r>
    </w:p>
    <w:p w:rsidR="00501ED3" w:rsidRDefault="00F46A42" w:rsidP="00F46A42">
      <w:pPr>
        <w:jc w:val="both"/>
      </w:pPr>
      <w:r>
        <w:t>-</w:t>
      </w:r>
      <w:r>
        <w:tab/>
        <w:t>Consapevolezza dei rischi e “messa in sicurezza” da tradursi in comportamenti più responsabili e atteggiamenti maggiormente critici e riflessivi.</w:t>
      </w:r>
    </w:p>
    <w:sectPr w:rsidR="00501ED3" w:rsidSect="00501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7CD9"/>
    <w:multiLevelType w:val="hybridMultilevel"/>
    <w:tmpl w:val="B7083C66"/>
    <w:lvl w:ilvl="0" w:tplc="91328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247BE"/>
    <w:rsid w:val="00010153"/>
    <w:rsid w:val="00501ED3"/>
    <w:rsid w:val="005656D5"/>
    <w:rsid w:val="005E6DA9"/>
    <w:rsid w:val="00902460"/>
    <w:rsid w:val="00954276"/>
    <w:rsid w:val="00AA5CF8"/>
    <w:rsid w:val="00C54EB6"/>
    <w:rsid w:val="00E264CB"/>
    <w:rsid w:val="00F247BE"/>
    <w:rsid w:val="00F46A42"/>
    <w:rsid w:val="00F9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7B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247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2016-11-07T13:01:00Z</dcterms:created>
  <dcterms:modified xsi:type="dcterms:W3CDTF">2016-11-07T13:04:00Z</dcterms:modified>
</cp:coreProperties>
</file>